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E233F" w:rsidP="001078F1">
      <w:pPr>
        <w:pStyle w:val="BodyText"/>
        <w:spacing w:after="60"/>
        <w:rPr>
          <w:sz w:val="24"/>
          <w:szCs w:val="28"/>
        </w:rPr>
      </w:pPr>
      <w:r w:rsidRPr="002F76D5">
        <w:rPr>
          <w:sz w:val="24"/>
          <w:szCs w:val="28"/>
        </w:rPr>
        <w:t xml:space="preserve">ОСНОВНЫЕ ПОКАЗАТЕЛИ ДЕЯТЕЛЬНОСТИ МАЛЫХ </w:t>
      </w:r>
    </w:p>
    <w:p w:rsidR="002F76D5" w:rsidP="001078F1">
      <w:pPr>
        <w:pStyle w:val="BodyText"/>
        <w:spacing w:after="60"/>
        <w:rPr>
          <w:sz w:val="24"/>
          <w:szCs w:val="28"/>
        </w:rPr>
      </w:pPr>
      <w:r w:rsidRPr="002F76D5">
        <w:rPr>
          <w:sz w:val="24"/>
          <w:szCs w:val="28"/>
        </w:rPr>
        <w:t>ПРЕДПРИЯТИЙ (БЕЗ МИКРОПРЕДПРИЯТИЙ)</w:t>
      </w:r>
      <w:r>
        <w:rPr>
          <w:sz w:val="24"/>
          <w:szCs w:val="28"/>
        </w:rPr>
        <w:t xml:space="preserve"> </w:t>
      </w:r>
      <w:r w:rsidRPr="002F76D5">
        <w:rPr>
          <w:sz w:val="24"/>
          <w:szCs w:val="28"/>
        </w:rPr>
        <w:t xml:space="preserve">ПО ВИДАМ </w:t>
      </w:r>
    </w:p>
    <w:p w:rsidR="00F34C9E" w:rsidRPr="0069475B" w:rsidP="001078F1">
      <w:pPr>
        <w:pStyle w:val="BodyText"/>
        <w:spacing w:after="60"/>
        <w:rPr>
          <w:sz w:val="24"/>
          <w:szCs w:val="28"/>
          <w:vertAlign w:val="superscript"/>
        </w:rPr>
      </w:pPr>
      <w:r>
        <w:rPr>
          <w:sz w:val="24"/>
          <w:szCs w:val="28"/>
        </w:rPr>
        <w:t>ЭКОНОМИЧЕСКОЙ</w:t>
      </w:r>
      <w:r w:rsidRPr="002F76D5">
        <w:rPr>
          <w:sz w:val="24"/>
          <w:szCs w:val="28"/>
        </w:rPr>
        <w:t xml:space="preserve"> ДЕЯТЕЛЬНОСТИ</w:t>
      </w:r>
      <w:r>
        <w:rPr>
          <w:rStyle w:val="FootnoteReference"/>
          <w:sz w:val="24"/>
          <w:szCs w:val="28"/>
        </w:rPr>
        <w:footnoteReference w:id="2"/>
      </w:r>
      <w:r w:rsidR="0069475B">
        <w:rPr>
          <w:sz w:val="24"/>
          <w:szCs w:val="28"/>
          <w:vertAlign w:val="superscript"/>
        </w:rPr>
        <w:t>)</w:t>
      </w:r>
      <w:bookmarkStart w:id="0" w:name="_GoBack"/>
      <w:bookmarkEnd w:id="0"/>
    </w:p>
    <w:p w:rsidR="00F34C9E" w:rsidRPr="002F76D5" w:rsidP="001078F1">
      <w:pPr>
        <w:pStyle w:val="BodyText"/>
        <w:spacing w:after="60"/>
        <w:rPr>
          <w:sz w:val="24"/>
          <w:szCs w:val="28"/>
        </w:rPr>
      </w:pPr>
      <w:r w:rsidRPr="002F76D5">
        <w:rPr>
          <w:sz w:val="24"/>
          <w:szCs w:val="28"/>
        </w:rPr>
        <w:t>В ЯНВАРЕ –</w:t>
      </w:r>
      <w:r w:rsidR="002F76D5">
        <w:rPr>
          <w:sz w:val="24"/>
          <w:szCs w:val="28"/>
        </w:rPr>
        <w:t xml:space="preserve"> МАРТЕ 2022</w:t>
      </w:r>
      <w:r w:rsidRPr="002F76D5">
        <w:rPr>
          <w:sz w:val="24"/>
          <w:szCs w:val="28"/>
        </w:rPr>
        <w:t>г.</w:t>
      </w:r>
    </w:p>
    <w:p w:rsidR="001078F1" w:rsidRPr="005553FF" w:rsidP="001078F1">
      <w:pPr>
        <w:pStyle w:val="BodyText"/>
        <w:spacing w:after="60"/>
        <w:rPr>
          <w:vertAlign w:val="superscript"/>
        </w:rPr>
      </w:pPr>
      <w:r w:rsidRPr="00F34C9E">
        <w:rPr>
          <w:b w:val="0"/>
          <w:sz w:val="28"/>
          <w:szCs w:val="28"/>
        </w:rPr>
        <w:t>(по данным выборочного наблюдения)</w:t>
      </w:r>
      <w:r>
        <w:rPr>
          <w:rStyle w:val="FootnoteReference"/>
          <w:b w:val="0"/>
          <w:sz w:val="20"/>
          <w:szCs w:val="28"/>
        </w:rPr>
        <w:footnoteReference w:id="3"/>
      </w:r>
      <w:r w:rsidRPr="005553FF" w:rsidR="0069475B">
        <w:rPr>
          <w:b w:val="0"/>
          <w:sz w:val="20"/>
          <w:szCs w:val="28"/>
          <w:vertAlign w:val="superscript"/>
        </w:rPr>
        <w:t>)</w:t>
      </w:r>
    </w:p>
    <w:p w:rsidR="001078F1" w:rsidRPr="0084187B" w:rsidP="001078F1">
      <w:pPr>
        <w:pStyle w:val="BodyText"/>
        <w:rPr>
          <w:b w:val="0"/>
          <w:sz w:val="6"/>
        </w:rPr>
      </w:pPr>
    </w:p>
    <w:tbl>
      <w:tblPr>
        <w:tblpPr w:leftFromText="180" w:rightFromText="180" w:vertAnchor="text" w:horzAnchor="margin" w:tblpXSpec="center" w:tblpY="-15"/>
        <w:tblOverlap w:val="never"/>
        <w:tblW w:w="4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772"/>
        <w:gridCol w:w="1772"/>
      </w:tblGrid>
      <w:tr w:rsidTr="004D2798">
        <w:tblPrEx>
          <w:tblW w:w="4474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621"/>
          <w:tblHeader/>
        </w:trPr>
        <w:tc>
          <w:tcPr>
            <w:tcW w:w="2957" w:type="pct"/>
          </w:tcPr>
          <w:p w:rsidR="005249FF" w:rsidRPr="002F76D5" w:rsidP="004D2798">
            <w:pPr>
              <w:spacing w:before="90" w:line="140" w:lineRule="exact"/>
              <w:ind w:left="113"/>
              <w:outlineLvl w:val="0"/>
            </w:pPr>
          </w:p>
        </w:tc>
        <w:tc>
          <w:tcPr>
            <w:tcW w:w="1021" w:type="pct"/>
            <w:vAlign w:val="bottom"/>
          </w:tcPr>
          <w:p w:rsidR="005249FF" w:rsidRPr="004D2798" w:rsidP="004D2798">
            <w:pPr>
              <w:jc w:val="center"/>
              <w:outlineLvl w:val="0"/>
              <w:rPr>
                <w:b/>
              </w:rPr>
            </w:pPr>
            <w:r w:rsidRPr="004D2798">
              <w:rPr>
                <w:b/>
              </w:rPr>
              <w:t>Средняя численность работников</w:t>
            </w:r>
          </w:p>
          <w:p w:rsidR="005249FF" w:rsidRPr="004D2798" w:rsidP="004D2798">
            <w:pPr>
              <w:jc w:val="center"/>
              <w:outlineLvl w:val="0"/>
              <w:rPr>
                <w:b/>
              </w:rPr>
            </w:pPr>
            <w:r w:rsidRPr="004D2798">
              <w:rPr>
                <w:b/>
              </w:rPr>
              <w:t>человек</w:t>
            </w:r>
          </w:p>
        </w:tc>
        <w:tc>
          <w:tcPr>
            <w:tcW w:w="1021" w:type="pct"/>
          </w:tcPr>
          <w:p w:rsidR="005249FF" w:rsidRPr="004D2798" w:rsidP="004D2798">
            <w:pPr>
              <w:jc w:val="center"/>
              <w:outlineLvl w:val="0"/>
              <w:rPr>
                <w:b/>
              </w:rPr>
            </w:pPr>
            <w:r w:rsidRPr="004D2798">
              <w:rPr>
                <w:b/>
              </w:rPr>
              <w:t xml:space="preserve">Оборот </w:t>
            </w:r>
          </w:p>
          <w:p w:rsidR="005249FF" w:rsidRPr="004D2798" w:rsidP="004D2798">
            <w:pPr>
              <w:jc w:val="center"/>
              <w:rPr>
                <w:b/>
              </w:rPr>
            </w:pPr>
            <w:r w:rsidRPr="004D2798">
              <w:rPr>
                <w:b/>
              </w:rPr>
              <w:t>млн. рублей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78"/>
        </w:trPr>
        <w:tc>
          <w:tcPr>
            <w:tcW w:w="2957" w:type="pct"/>
            <w:vAlign w:val="bottom"/>
          </w:tcPr>
          <w:p w:rsidR="00C0667D" w:rsidRPr="002F76D5" w:rsidP="004D2798">
            <w:pPr>
              <w:keepNext/>
              <w:rPr>
                <w:b/>
                <w:bCs/>
              </w:rPr>
            </w:pPr>
            <w:r w:rsidRPr="002F76D5">
              <w:rPr>
                <w:b/>
                <w:bCs/>
              </w:rPr>
              <w:t>Всего</w:t>
            </w:r>
            <w:r w:rsidRPr="002F76D5">
              <w:rPr>
                <w:b/>
              </w:rPr>
              <w:t xml:space="preserve"> </w:t>
            </w:r>
          </w:p>
        </w:tc>
        <w:tc>
          <w:tcPr>
            <w:tcW w:w="1021" w:type="pct"/>
            <w:vAlign w:val="bottom"/>
          </w:tcPr>
          <w:p w:rsidR="00C0667D" w:rsidRPr="002F76D5" w:rsidP="004D2798">
            <w:pPr>
              <w:jc w:val="center"/>
            </w:pPr>
            <w:r w:rsidRPr="002F76D5">
              <w:t>15498</w:t>
            </w:r>
          </w:p>
        </w:tc>
        <w:tc>
          <w:tcPr>
            <w:tcW w:w="1021" w:type="pct"/>
            <w:vAlign w:val="bottom"/>
          </w:tcPr>
          <w:p w:rsidR="00C0667D" w:rsidRPr="002F76D5" w:rsidP="004D2798">
            <w:pPr>
              <w:jc w:val="center"/>
            </w:pPr>
            <w:r w:rsidRPr="002F76D5">
              <w:t>13000,0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78"/>
        </w:trPr>
        <w:tc>
          <w:tcPr>
            <w:tcW w:w="2957" w:type="pct"/>
            <w:vAlign w:val="bottom"/>
          </w:tcPr>
          <w:p w:rsidR="00C0667D" w:rsidRPr="002F76D5" w:rsidP="004D2798">
            <w:pPr>
              <w:keepNext/>
              <w:ind w:firstLine="510"/>
              <w:rPr>
                <w:bCs/>
              </w:rPr>
            </w:pPr>
            <w:r w:rsidRPr="002F76D5">
              <w:rPr>
                <w:bCs/>
              </w:rPr>
              <w:t>в том числе:</w:t>
            </w:r>
          </w:p>
        </w:tc>
        <w:tc>
          <w:tcPr>
            <w:tcW w:w="1021" w:type="pct"/>
            <w:vAlign w:val="bottom"/>
          </w:tcPr>
          <w:p w:rsidR="00C0667D" w:rsidRPr="002F76D5" w:rsidP="004D2798">
            <w:pPr>
              <w:jc w:val="center"/>
            </w:pPr>
          </w:p>
        </w:tc>
        <w:tc>
          <w:tcPr>
            <w:tcW w:w="1021" w:type="pct"/>
            <w:vAlign w:val="bottom"/>
          </w:tcPr>
          <w:p w:rsidR="00C0667D" w:rsidRPr="002F76D5" w:rsidP="004D2798">
            <w:pPr>
              <w:jc w:val="center"/>
            </w:pP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647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сельское, лесное хозяйство, охота,</w:t>
            </w:r>
          </w:p>
          <w:p w:rsidR="001A1C21" w:rsidRPr="002F76D5" w:rsidP="004D2798">
            <w:r w:rsidRPr="002F76D5">
              <w:t>рыболовство и рыбоводство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857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658,7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78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добыча полезных ископаемых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269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57,9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78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обрабатывающие производства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2089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1160,1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78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464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265,0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78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143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14,6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91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строительство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2909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1221,1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78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2404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7380,9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78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транспортировка и хранение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1055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399,7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486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деятельность гостиниц и предприятий общественного питания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259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220,2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53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деятельность в области информации и связи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456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479,8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5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деятельность по операциям с недвижимым имуществом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825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124,5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5"/>
        </w:trPr>
        <w:tc>
          <w:tcPr>
            <w:tcW w:w="2957" w:type="pct"/>
          </w:tcPr>
          <w:p w:rsidR="001A1C21" w:rsidRPr="002F76D5" w:rsidP="004D2798">
            <w:r w:rsidRPr="002F76D5">
              <w:t>деятельность профессиональная, научная и техническая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265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99,4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479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деятельность административная и сопутствующие дополнительные услуги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699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172,5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13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образование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23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5,6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431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деятельность в области здравоохранения и социальных услуг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2574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700,6</w:t>
            </w:r>
          </w:p>
        </w:tc>
      </w:tr>
      <w:tr w:rsidTr="004D2798">
        <w:tblPrEx>
          <w:tblW w:w="4474" w:type="pct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44"/>
        </w:trPr>
        <w:tc>
          <w:tcPr>
            <w:tcW w:w="2957" w:type="pct"/>
            <w:vAlign w:val="bottom"/>
          </w:tcPr>
          <w:p w:rsidR="001A1C21" w:rsidRPr="002F76D5" w:rsidP="004D2798">
            <w:r w:rsidRPr="002F76D5">
              <w:t>деятельность в области культуры, спорта, организации досуга и развлечений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51</w:t>
            </w:r>
          </w:p>
        </w:tc>
        <w:tc>
          <w:tcPr>
            <w:tcW w:w="1021" w:type="pct"/>
            <w:vAlign w:val="bottom"/>
          </w:tcPr>
          <w:p w:rsidR="001A1C21" w:rsidRPr="002F76D5" w:rsidP="004D2798">
            <w:pPr>
              <w:jc w:val="center"/>
            </w:pPr>
            <w:r w:rsidRPr="002F76D5">
              <w:t>23,1</w:t>
            </w:r>
          </w:p>
        </w:tc>
      </w:tr>
    </w:tbl>
    <w:p w:rsidR="0035607D" w:rsidRPr="001A1C21">
      <w:r w:rsidRPr="001A1C21">
        <w:br w:type="textWrapping" w:clear="all"/>
      </w:r>
    </w:p>
    <w:sectPr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D69AF" w:rsidP="001078F1">
      <w:r>
        <w:separator/>
      </w:r>
    </w:p>
  </w:footnote>
  <w:footnote w:type="continuationSeparator" w:id="1">
    <w:p w:rsidR="00DD69AF" w:rsidP="001078F1">
      <w:r>
        <w:continuationSeparator/>
      </w:r>
    </w:p>
  </w:footnote>
  <w:footnote w:id="2">
    <w:p w:rsidR="0069475B" w:rsidRPr="0069475B">
      <w:pPr>
        <w:pStyle w:val="FootnoteText"/>
        <w:rPr>
          <w:rFonts w:ascii="Times New Roman" w:hAnsi="Times New Roman"/>
        </w:rPr>
      </w:pPr>
      <w:r w:rsidRPr="0069475B">
        <w:rPr>
          <w:rStyle w:val="FootnoteReference"/>
          <w:rFonts w:ascii="Times New Roman" w:hAnsi="Times New Roman"/>
        </w:rPr>
        <w:footnoteRef/>
      </w:r>
      <w:r w:rsidRPr="0069475B">
        <w:rPr>
          <w:rFonts w:ascii="Times New Roman" w:hAnsi="Times New Roman"/>
        </w:rPr>
        <w:t xml:space="preserve"> </w:t>
      </w:r>
      <w:r w:rsidRPr="0069475B">
        <w:rPr>
          <w:rFonts w:ascii="Times New Roman" w:hAnsi="Times New Roman"/>
          <w:sz w:val="22"/>
        </w:rPr>
        <w:t>Юридические лица</w:t>
      </w:r>
    </w:p>
  </w:footnote>
  <w:footnote w:id="3">
    <w:p w:rsidR="0069475B" w:rsidP="006947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475B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Данные сформированы на основе проведенных выборочных обследований малых предприятий (без микропредприятий) по </w:t>
      </w:r>
      <w:r w:rsidRPr="0069475B">
        <w:rPr>
          <w:rFonts w:ascii="Times New Roman" w:eastAsia="Calibri" w:hAnsi="Times New Roman"/>
          <w:iCs/>
          <w:sz w:val="22"/>
          <w:szCs w:val="22"/>
          <w:lang w:eastAsia="en-US"/>
        </w:rPr>
        <w:t>ф.№ПМ</w:t>
      </w:r>
      <w:r w:rsidRPr="0069475B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 «Сведения об основных показателях деятельности малого предприятия».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F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1078F1"/>
    <w:pPr>
      <w:widowControl w:val="0"/>
      <w:jc w:val="center"/>
    </w:pPr>
    <w:rPr>
      <w:b/>
      <w:sz w:val="18"/>
      <w:szCs w:val="20"/>
    </w:rPr>
  </w:style>
  <w:style w:type="character" w:customStyle="1" w:styleId="a">
    <w:name w:val="Основной текст Знак"/>
    <w:basedOn w:val="DefaultParagraphFont"/>
    <w:link w:val="BodyText"/>
    <w:rsid w:val="00107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FootnoteText">
    <w:name w:val="footnote text"/>
    <w:basedOn w:val="Normal"/>
    <w:link w:val="a0"/>
    <w:semiHidden/>
    <w:rsid w:val="001078F1"/>
    <w:pPr>
      <w:widowControl w:val="0"/>
    </w:pPr>
    <w:rPr>
      <w:rFonts w:ascii="Arial" w:hAnsi="Arial"/>
      <w:sz w:val="20"/>
      <w:szCs w:val="20"/>
    </w:rPr>
  </w:style>
  <w:style w:type="character" w:customStyle="1" w:styleId="a0">
    <w:name w:val="Текст сноски Знак"/>
    <w:basedOn w:val="DefaultParagraphFont"/>
    <w:link w:val="FootnoteText"/>
    <w:semiHidden/>
    <w:rsid w:val="001078F1"/>
    <w:rPr>
      <w:rFonts w:ascii="Arial" w:eastAsia="Times New Roman" w:hAnsi="Arial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107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52B8-66C0-419D-9CD8-4B78A4CB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3</cp:revision>
  <dcterms:created xsi:type="dcterms:W3CDTF">2022-06-08T08:23:00Z</dcterms:created>
  <dcterms:modified xsi:type="dcterms:W3CDTF">2022-06-08T08:29:00Z</dcterms:modified>
</cp:coreProperties>
</file>